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F931C" w14:textId="10469182" w:rsidR="006B562D" w:rsidRDefault="006B562D"/>
    <w:p w14:paraId="7E48EDE8" w14:textId="4EDBDAA3" w:rsidR="00DC69C2" w:rsidRDefault="00DC69C2"/>
    <w:p w14:paraId="2DBFB61B" w14:textId="77777777" w:rsidR="00DC69C2" w:rsidRDefault="00DC69C2" w:rsidP="00DC69C2">
      <w:pPr>
        <w:rPr>
          <w:rFonts w:asciiTheme="majorHAnsi" w:hAnsiTheme="majorHAnsi" w:cstheme="majorHAnsi"/>
          <w:b/>
          <w:i w:val="0"/>
          <w:sz w:val="28"/>
          <w:szCs w:val="28"/>
        </w:rPr>
      </w:pPr>
      <w:r>
        <w:rPr>
          <w:rFonts w:asciiTheme="majorHAnsi" w:hAnsiTheme="majorHAnsi" w:cstheme="majorHAnsi"/>
          <w:b/>
          <w:i w:val="0"/>
          <w:sz w:val="28"/>
          <w:szCs w:val="28"/>
        </w:rPr>
        <w:t>Nursery Fees Policy</w:t>
      </w:r>
    </w:p>
    <w:p w14:paraId="2EB9FA35" w14:textId="77777777" w:rsidR="00DC69C2" w:rsidRDefault="00DC69C2" w:rsidP="00DC69C2">
      <w:pPr>
        <w:rPr>
          <w:rFonts w:asciiTheme="majorHAnsi" w:hAnsiTheme="majorHAnsi" w:cstheme="majorHAnsi"/>
          <w:b/>
          <w:i w:val="0"/>
          <w:sz w:val="28"/>
          <w:szCs w:val="28"/>
        </w:rPr>
      </w:pPr>
    </w:p>
    <w:p w14:paraId="2FC09946"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On registering with the nursery, a contracting parent will sign the financial agreement to say they agree with the nursery policy on fee payment.</w:t>
      </w:r>
    </w:p>
    <w:p w14:paraId="0AC4D9FD"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 xml:space="preserve">Fees are payable monthly in advance, an </w:t>
      </w:r>
      <w:proofErr w:type="spellStart"/>
      <w:r>
        <w:rPr>
          <w:rFonts w:asciiTheme="majorHAnsi" w:hAnsiTheme="majorHAnsi" w:cstheme="majorHAnsi"/>
          <w:i w:val="0"/>
          <w:sz w:val="28"/>
          <w:szCs w:val="28"/>
        </w:rPr>
        <w:t>enrollement</w:t>
      </w:r>
      <w:proofErr w:type="spellEnd"/>
      <w:r>
        <w:rPr>
          <w:rFonts w:asciiTheme="majorHAnsi" w:hAnsiTheme="majorHAnsi" w:cstheme="majorHAnsi"/>
          <w:i w:val="0"/>
          <w:sz w:val="28"/>
          <w:szCs w:val="28"/>
        </w:rPr>
        <w:t xml:space="preserve"> fee of £50.00 is required unless the child is accessing Free Early Year Education, in which case no deposit will be required. Every child will have the opportunity to use 5 days per year for holidays charged at 50%.</w:t>
      </w:r>
    </w:p>
    <w:p w14:paraId="3CEB844B"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Where a parent suggests that a fee due will be paid by the other parent, the parent is immediately reminded of the contracting parent’s regulations. The nursery will, of course, accept payment from the other parent, but if payment is not made on time, it is the contracting parent to whom the nursery will turn.</w:t>
      </w:r>
    </w:p>
    <w:p w14:paraId="323F12BB"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Fees are payable in advance, either 4 weekly, weekly or per calendar month and are due for payment within one week of receiving the invoice or the 7</w:t>
      </w:r>
      <w:r w:rsidRPr="00A33737">
        <w:rPr>
          <w:rFonts w:asciiTheme="majorHAnsi" w:hAnsiTheme="majorHAnsi" w:cstheme="majorHAnsi"/>
          <w:i w:val="0"/>
          <w:sz w:val="28"/>
          <w:szCs w:val="28"/>
          <w:vertAlign w:val="superscript"/>
        </w:rPr>
        <w:t>th</w:t>
      </w:r>
      <w:r>
        <w:rPr>
          <w:rFonts w:asciiTheme="majorHAnsi" w:hAnsiTheme="majorHAnsi" w:cstheme="majorHAnsi"/>
          <w:i w:val="0"/>
          <w:sz w:val="28"/>
          <w:szCs w:val="28"/>
        </w:rPr>
        <w:t xml:space="preserve"> of each month for annual invoices. They will cover all sessions for which the child is enrolled – including any sessions not attended by the child, for instance due to illness.</w:t>
      </w:r>
    </w:p>
    <w:p w14:paraId="38BE4F79"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Funding Available</w:t>
      </w:r>
    </w:p>
    <w:p w14:paraId="77FBAFFE"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 xml:space="preserve">There are </w:t>
      </w:r>
      <w:proofErr w:type="gramStart"/>
      <w:r>
        <w:rPr>
          <w:rFonts w:asciiTheme="majorHAnsi" w:hAnsiTheme="majorHAnsi" w:cstheme="majorHAnsi"/>
          <w:i w:val="0"/>
          <w:sz w:val="28"/>
          <w:szCs w:val="28"/>
        </w:rPr>
        <w:t>a number of</w:t>
      </w:r>
      <w:proofErr w:type="gramEnd"/>
      <w:r>
        <w:rPr>
          <w:rFonts w:asciiTheme="majorHAnsi" w:hAnsiTheme="majorHAnsi" w:cstheme="majorHAnsi"/>
          <w:i w:val="0"/>
          <w:sz w:val="28"/>
          <w:szCs w:val="28"/>
        </w:rPr>
        <w:t xml:space="preserve"> funding options to help parents/carers with childcare costs.</w:t>
      </w:r>
    </w:p>
    <w:p w14:paraId="0D9B97B7" w14:textId="77777777" w:rsidR="00DC69C2" w:rsidRDefault="00DC69C2" w:rsidP="00DC69C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Childcare vouchers</w:t>
      </w:r>
    </w:p>
    <w:p w14:paraId="25180573"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These are one of the ways in which employers help their staff with the cost of childcare.</w:t>
      </w:r>
    </w:p>
    <w:p w14:paraId="2595C892" w14:textId="77777777" w:rsidR="00DC69C2" w:rsidRDefault="00DC69C2" w:rsidP="00DC69C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Tax Credits</w:t>
      </w:r>
    </w:p>
    <w:p w14:paraId="7E3C60ED"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lastRenderedPageBreak/>
        <w:t>Tax credits are provided by the Government to help parents/carers with the cost of childcare. The amount available through tax credits is dependent on individual circumstances.</w:t>
      </w:r>
    </w:p>
    <w:p w14:paraId="6D5F66C5" w14:textId="77777777" w:rsidR="00DC69C2" w:rsidRDefault="00DC69C2" w:rsidP="00DC69C2">
      <w:pPr>
        <w:pStyle w:val="ListParagraph"/>
        <w:numPr>
          <w:ilvl w:val="0"/>
          <w:numId w:val="1"/>
        </w:numPr>
        <w:rPr>
          <w:rFonts w:asciiTheme="majorHAnsi" w:hAnsiTheme="majorHAnsi" w:cstheme="majorHAnsi"/>
          <w:i w:val="0"/>
          <w:sz w:val="28"/>
          <w:szCs w:val="28"/>
        </w:rPr>
      </w:pPr>
      <w:r>
        <w:rPr>
          <w:rFonts w:asciiTheme="majorHAnsi" w:hAnsiTheme="majorHAnsi" w:cstheme="majorHAnsi"/>
          <w:i w:val="0"/>
          <w:sz w:val="28"/>
          <w:szCs w:val="28"/>
        </w:rPr>
        <w:t xml:space="preserve">Free Early Year Education for </w:t>
      </w:r>
      <w:proofErr w:type="gramStart"/>
      <w:r>
        <w:rPr>
          <w:rFonts w:asciiTheme="majorHAnsi" w:hAnsiTheme="majorHAnsi" w:cstheme="majorHAnsi"/>
          <w:i w:val="0"/>
          <w:sz w:val="28"/>
          <w:szCs w:val="28"/>
        </w:rPr>
        <w:t>2, 3 and 4 year olds</w:t>
      </w:r>
      <w:proofErr w:type="gramEnd"/>
    </w:p>
    <w:p w14:paraId="7FF68B60"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 xml:space="preserve">Free Early Year Education is available from the term following the child’s third birthday. In some </w:t>
      </w:r>
      <w:proofErr w:type="gramStart"/>
      <w:r>
        <w:rPr>
          <w:rFonts w:asciiTheme="majorHAnsi" w:hAnsiTheme="majorHAnsi" w:cstheme="majorHAnsi"/>
          <w:i w:val="0"/>
          <w:sz w:val="28"/>
          <w:szCs w:val="28"/>
        </w:rPr>
        <w:t>cases</w:t>
      </w:r>
      <w:proofErr w:type="gramEnd"/>
      <w:r>
        <w:rPr>
          <w:rFonts w:asciiTheme="majorHAnsi" w:hAnsiTheme="majorHAnsi" w:cstheme="majorHAnsi"/>
          <w:i w:val="0"/>
          <w:sz w:val="28"/>
          <w:szCs w:val="28"/>
        </w:rPr>
        <w:t xml:space="preserve"> you can be eligible for Free Early Education from the term following your child’s second birthday. This entitlement provides 570 free hours per year. The nursery can also provide a stretched offer (please ask the Manager for more information)</w:t>
      </w:r>
    </w:p>
    <w:p w14:paraId="304DCCCD" w14:textId="77777777" w:rsidR="00DC69C2" w:rsidRDefault="00DC69C2" w:rsidP="00DC69C2">
      <w:pPr>
        <w:rPr>
          <w:rFonts w:asciiTheme="majorHAnsi" w:hAnsiTheme="majorHAnsi" w:cstheme="majorHAnsi"/>
          <w:i w:val="0"/>
          <w:sz w:val="28"/>
          <w:szCs w:val="28"/>
        </w:rPr>
      </w:pPr>
    </w:p>
    <w:p w14:paraId="33B68FBE"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Late payment and non-payment of fees</w:t>
      </w:r>
    </w:p>
    <w:p w14:paraId="7DB5397F"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The nursery would try to avoid any situation which would lead to a dispute between the nursery and the parent over the late payment or, in extreme cases, non-payment of fees.</w:t>
      </w:r>
    </w:p>
    <w:p w14:paraId="2C6BB64C"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The parents must understand that non-payment of fees may jeopardise the place of their child (This does not apply to the free early education hours)</w:t>
      </w:r>
    </w:p>
    <w:p w14:paraId="3B3D5082"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We accept payments via BACS or standing orders to our bank account, in cash or via childcare vouchers.</w:t>
      </w:r>
    </w:p>
    <w:p w14:paraId="3A466F55"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If payment has not been settled in full within 2 weeks, the nursery can then demand that the parents of the child withdraw the nursery place (excluding Free Early Years Education) until all monies have been settled in full.</w:t>
      </w:r>
    </w:p>
    <w:p w14:paraId="3B29DD21"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After one week of non-payment, 10% of the amount outstanding may be added to the account and a further 10% added each week thereafter that fees remain unpaid; further delay in payment may result in court proceedings being initiated. All legal and court costs will be included in the final bill amount outstanding, including any tracing fees.</w:t>
      </w:r>
    </w:p>
    <w:p w14:paraId="50151F3E"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lastRenderedPageBreak/>
        <w:t>If parents, at any time, experience payment difficulties, please talk to the Manager, who will endeavour to help with any situation.</w:t>
      </w:r>
    </w:p>
    <w:p w14:paraId="555C68B6"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If the child no longer wishes to use their place, parents must agree to give one months’ notice of their intention to leave and should understand that they will be required to pay the fees due for the whole notice period.</w:t>
      </w:r>
    </w:p>
    <w:p w14:paraId="5529EA21"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The fees may be subject to periodic reviews, increases will be notified at least one month in advance.</w:t>
      </w:r>
    </w:p>
    <w:p w14:paraId="4407CFED"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Deposits/Enrolment fee</w:t>
      </w:r>
    </w:p>
    <w:p w14:paraId="7AC08C10"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The nursery, accepting the child for the place, is asking for a £50 enrolment fee, which must be paid in full when completing the application forms for the nursery, except where the child is only accessing Free Early Year Education.</w:t>
      </w:r>
    </w:p>
    <w:p w14:paraId="47CA4144"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 xml:space="preserve">If during the year, the parents wish to change </w:t>
      </w:r>
      <w:proofErr w:type="gramStart"/>
      <w:r>
        <w:rPr>
          <w:rFonts w:asciiTheme="majorHAnsi" w:hAnsiTheme="majorHAnsi" w:cstheme="majorHAnsi"/>
          <w:i w:val="0"/>
          <w:sz w:val="28"/>
          <w:szCs w:val="28"/>
        </w:rPr>
        <w:t>a number of</w:t>
      </w:r>
      <w:proofErr w:type="gramEnd"/>
      <w:r>
        <w:rPr>
          <w:rFonts w:asciiTheme="majorHAnsi" w:hAnsiTheme="majorHAnsi" w:cstheme="majorHAnsi"/>
          <w:i w:val="0"/>
          <w:sz w:val="28"/>
          <w:szCs w:val="28"/>
        </w:rPr>
        <w:t xml:space="preserve"> attended days, they will be asked to complete a new Financial Agreement.</w:t>
      </w:r>
    </w:p>
    <w:p w14:paraId="3536A67E"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 xml:space="preserve">If parent do not pay the balance of fees due after changing the amount of attended days, or are often late for payments, they may lose the 5 </w:t>
      </w:r>
      <w:proofErr w:type="gramStart"/>
      <w:r>
        <w:rPr>
          <w:rFonts w:asciiTheme="majorHAnsi" w:hAnsiTheme="majorHAnsi" w:cstheme="majorHAnsi"/>
          <w:i w:val="0"/>
          <w:sz w:val="28"/>
          <w:szCs w:val="28"/>
        </w:rPr>
        <w:t>days  holiday</w:t>
      </w:r>
      <w:proofErr w:type="gramEnd"/>
      <w:r>
        <w:rPr>
          <w:rFonts w:asciiTheme="majorHAnsi" w:hAnsiTheme="majorHAnsi" w:cstheme="majorHAnsi"/>
          <w:i w:val="0"/>
          <w:sz w:val="28"/>
          <w:szCs w:val="28"/>
        </w:rPr>
        <w:t xml:space="preserve"> per year.</w:t>
      </w:r>
    </w:p>
    <w:p w14:paraId="0C9E12FB"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Charges may be applied if a child is picked up late.</w:t>
      </w:r>
    </w:p>
    <w:p w14:paraId="274AED8B" w14:textId="77777777" w:rsidR="00DC69C2" w:rsidRPr="005E0303" w:rsidRDefault="00DC69C2" w:rsidP="00DC69C2">
      <w:pPr>
        <w:rPr>
          <w:rFonts w:asciiTheme="majorHAnsi" w:hAnsiTheme="majorHAnsi" w:cstheme="majorHAnsi"/>
          <w:i w:val="0"/>
          <w:sz w:val="28"/>
          <w:szCs w:val="28"/>
        </w:rPr>
      </w:pPr>
    </w:p>
    <w:p w14:paraId="0087B67B" w14:textId="77777777" w:rsidR="00DC69C2" w:rsidRPr="005E0303" w:rsidRDefault="00DC69C2" w:rsidP="00DC69C2">
      <w:pPr>
        <w:rPr>
          <w:rFonts w:asciiTheme="majorHAnsi" w:hAnsiTheme="majorHAnsi" w:cstheme="majorHAnsi"/>
          <w:i w:val="0"/>
          <w:sz w:val="28"/>
          <w:szCs w:val="28"/>
        </w:rPr>
      </w:pPr>
    </w:p>
    <w:p w14:paraId="71703D02" w14:textId="77777777" w:rsidR="00DC69C2" w:rsidRPr="00A33737" w:rsidRDefault="00DC69C2" w:rsidP="00DC69C2">
      <w:pPr>
        <w:rPr>
          <w:rFonts w:asciiTheme="majorHAnsi" w:hAnsiTheme="majorHAnsi" w:cstheme="majorHAnsi"/>
          <w:i w:val="0"/>
          <w:sz w:val="28"/>
          <w:szCs w:val="28"/>
        </w:rPr>
      </w:pPr>
    </w:p>
    <w:p w14:paraId="79E17BFF" w14:textId="77777777" w:rsidR="00DC69C2" w:rsidRDefault="00DC69C2" w:rsidP="00DC69C2">
      <w:pPr>
        <w:rPr>
          <w:rFonts w:asciiTheme="majorHAnsi" w:hAnsiTheme="majorHAnsi" w:cstheme="majorHAnsi"/>
          <w:i w:val="0"/>
          <w:sz w:val="28"/>
          <w:szCs w:val="28"/>
        </w:rPr>
      </w:pPr>
      <w:r>
        <w:rPr>
          <w:rFonts w:asciiTheme="majorHAnsi" w:hAnsiTheme="majorHAnsi" w:cstheme="majorHAnsi"/>
          <w:i w:val="0"/>
          <w:sz w:val="28"/>
          <w:szCs w:val="28"/>
        </w:rPr>
        <w:t>Date to be reviewed…………………………………………………………</w:t>
      </w:r>
      <w:proofErr w:type="gramStart"/>
      <w:r>
        <w:rPr>
          <w:rFonts w:asciiTheme="majorHAnsi" w:hAnsiTheme="majorHAnsi" w:cstheme="majorHAnsi"/>
          <w:i w:val="0"/>
          <w:sz w:val="28"/>
          <w:szCs w:val="28"/>
        </w:rPr>
        <w:t>…..</w:t>
      </w:r>
      <w:proofErr w:type="gramEnd"/>
      <w:r>
        <w:rPr>
          <w:rFonts w:asciiTheme="majorHAnsi" w:hAnsiTheme="majorHAnsi" w:cstheme="majorHAnsi"/>
          <w:i w:val="0"/>
          <w:sz w:val="28"/>
          <w:szCs w:val="28"/>
        </w:rPr>
        <w:t>(Date)</w:t>
      </w:r>
    </w:p>
    <w:p w14:paraId="635F74B5" w14:textId="77777777" w:rsidR="00DC69C2" w:rsidRDefault="00DC69C2"/>
    <w:sectPr w:rsidR="00DC69C2" w:rsidSect="000058CB">
      <w:headerReference w:type="default" r:id="rId7"/>
      <w:pgSz w:w="11906" w:h="16838"/>
      <w:pgMar w:top="241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489A4" w14:textId="77777777" w:rsidR="000058CB" w:rsidRDefault="000058CB" w:rsidP="000058CB">
      <w:pPr>
        <w:spacing w:after="0" w:line="240" w:lineRule="auto"/>
      </w:pPr>
      <w:r>
        <w:separator/>
      </w:r>
    </w:p>
  </w:endnote>
  <w:endnote w:type="continuationSeparator" w:id="0">
    <w:p w14:paraId="06D0B002" w14:textId="77777777" w:rsidR="000058CB" w:rsidRDefault="000058CB" w:rsidP="00005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B067C" w14:textId="77777777" w:rsidR="000058CB" w:rsidRDefault="000058CB" w:rsidP="000058CB">
      <w:pPr>
        <w:spacing w:after="0" w:line="240" w:lineRule="auto"/>
      </w:pPr>
      <w:r>
        <w:separator/>
      </w:r>
    </w:p>
  </w:footnote>
  <w:footnote w:type="continuationSeparator" w:id="0">
    <w:p w14:paraId="245B3025" w14:textId="77777777" w:rsidR="000058CB" w:rsidRDefault="000058CB" w:rsidP="000058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7DE67" w14:textId="4D59D127" w:rsidR="000058CB" w:rsidRDefault="000058CB">
    <w:pPr>
      <w:pStyle w:val="Header"/>
    </w:pPr>
    <w:r>
      <w:rPr>
        <w:noProof/>
      </w:rPr>
      <w:drawing>
        <wp:anchor distT="0" distB="0" distL="114300" distR="114300" simplePos="0" relativeHeight="251658240" behindDoc="1" locked="0" layoutInCell="1" allowOverlap="1" wp14:anchorId="31E6703A" wp14:editId="6CDB3C49">
          <wp:simplePos x="0" y="0"/>
          <wp:positionH relativeFrom="page">
            <wp:align>right</wp:align>
          </wp:positionH>
          <wp:positionV relativeFrom="paragraph">
            <wp:posOffset>-449580</wp:posOffset>
          </wp:positionV>
          <wp:extent cx="7553325" cy="10682739"/>
          <wp:effectExtent l="0" t="0" r="0"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106827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D14047"/>
    <w:multiLevelType w:val="hybridMultilevel"/>
    <w:tmpl w:val="B120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110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CB"/>
    <w:rsid w:val="000058CB"/>
    <w:rsid w:val="006B562D"/>
    <w:rsid w:val="00DC69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1EA50E"/>
  <w15:chartTrackingRefBased/>
  <w15:docId w15:val="{DBB1C7BB-15E1-4E47-92E9-A1A7D28E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9C2"/>
    <w:pPr>
      <w:spacing w:after="200" w:line="288" w:lineRule="auto"/>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8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58CB"/>
  </w:style>
  <w:style w:type="paragraph" w:styleId="Footer">
    <w:name w:val="footer"/>
    <w:basedOn w:val="Normal"/>
    <w:link w:val="FooterChar"/>
    <w:uiPriority w:val="99"/>
    <w:unhideWhenUsed/>
    <w:rsid w:val="000058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8CB"/>
  </w:style>
  <w:style w:type="paragraph" w:styleId="ListParagraph">
    <w:name w:val="List Paragraph"/>
    <w:basedOn w:val="Normal"/>
    <w:uiPriority w:val="34"/>
    <w:qFormat/>
    <w:rsid w:val="00DC69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3425</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Logan</dc:creator>
  <cp:keywords/>
  <dc:description/>
  <cp:lastModifiedBy>Sue Beard</cp:lastModifiedBy>
  <cp:revision>2</cp:revision>
  <dcterms:created xsi:type="dcterms:W3CDTF">2022-08-16T12:12:00Z</dcterms:created>
  <dcterms:modified xsi:type="dcterms:W3CDTF">2022-08-16T12:12:00Z</dcterms:modified>
</cp:coreProperties>
</file>